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17" w:rsidRDefault="00652017" w:rsidP="0065201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27590F">
        <w:rPr>
          <w:rFonts w:ascii="Times New Roman" w:hAnsi="Times New Roman" w:cs="Times New Roman"/>
          <w:sz w:val="28"/>
          <w:szCs w:val="28"/>
        </w:rPr>
        <w:t>UNIVERSIDADE FEDERAL DA PARAÍBA</w:t>
      </w:r>
    </w:p>
    <w:p w:rsidR="00652017" w:rsidRPr="0027590F" w:rsidRDefault="00652017" w:rsidP="0065201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52017" w:rsidRDefault="00652017" w:rsidP="0065201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CENTRO DE CIÊ</w:t>
      </w:r>
      <w:r w:rsidRPr="0027590F">
        <w:rPr>
          <w:rFonts w:ascii="Times New Roman" w:hAnsi="Times New Roman" w:cs="Times New Roman"/>
          <w:sz w:val="28"/>
          <w:szCs w:val="28"/>
        </w:rPr>
        <w:t>NCIAS SOCIAIS APLICADAS</w:t>
      </w:r>
    </w:p>
    <w:p w:rsidR="00652017" w:rsidRPr="0027590F" w:rsidRDefault="00652017" w:rsidP="0065201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52017" w:rsidRDefault="00652017" w:rsidP="0065201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27590F">
        <w:rPr>
          <w:rFonts w:ascii="Times New Roman" w:hAnsi="Times New Roman" w:cs="Times New Roman"/>
          <w:sz w:val="28"/>
          <w:szCs w:val="28"/>
        </w:rPr>
        <w:t>DEPARTAMENTO DE FINANAÇAS E CONTABILIDADE</w:t>
      </w:r>
    </w:p>
    <w:p w:rsidR="00652017" w:rsidRPr="0027590F" w:rsidRDefault="00652017" w:rsidP="0065201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52017" w:rsidRDefault="00652017" w:rsidP="0065201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CURSO DE CIÊ</w:t>
      </w:r>
      <w:r w:rsidRPr="0027590F">
        <w:rPr>
          <w:rFonts w:ascii="Times New Roman" w:hAnsi="Times New Roman" w:cs="Times New Roman"/>
          <w:sz w:val="28"/>
          <w:szCs w:val="28"/>
        </w:rPr>
        <w:t>NCIAS CONTÁBEIS</w:t>
      </w:r>
    </w:p>
    <w:p w:rsidR="00652017" w:rsidRPr="0027590F" w:rsidRDefault="00652017" w:rsidP="0065201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52017" w:rsidRPr="009D2551" w:rsidRDefault="00652017" w:rsidP="0065201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27590F">
        <w:rPr>
          <w:rFonts w:ascii="Times New Roman" w:hAnsi="Times New Roman" w:cs="Times New Roman"/>
          <w:sz w:val="28"/>
          <w:szCs w:val="28"/>
        </w:rPr>
        <w:t>PROJETO DE MONITORIA</w:t>
      </w:r>
    </w:p>
    <w:p w:rsidR="00652017" w:rsidRPr="00CC116C" w:rsidRDefault="00652017" w:rsidP="00652017">
      <w:pPr>
        <w:jc w:val="center"/>
        <w:rPr>
          <w:b/>
          <w:sz w:val="28"/>
          <w:szCs w:val="28"/>
        </w:rPr>
      </w:pPr>
    </w:p>
    <w:p w:rsidR="00652017" w:rsidRDefault="00652017" w:rsidP="00652017">
      <w:pPr>
        <w:jc w:val="center"/>
        <w:rPr>
          <w:b/>
          <w:sz w:val="28"/>
          <w:szCs w:val="28"/>
        </w:rPr>
      </w:pPr>
      <w:r w:rsidRPr="00CC116C">
        <w:rPr>
          <w:b/>
          <w:sz w:val="28"/>
          <w:szCs w:val="28"/>
        </w:rPr>
        <w:t>UM ESTUDO SOBRE A COLABORAÇÃO DA MONITORIA NO APRENDIZADO DOS CONTEÚDOS ABORDADOS NA DISCIPLINA CONTABILIDADE IMINISTRADA PARA OS CURSOS DE CIÊNCIAS ATUARIAIS E LÍNGUAS ESTRANGEIRAS APLICADAS ÀS NEGOCIAÇÕES INTERNACIONAIS (LEA)</w:t>
      </w:r>
    </w:p>
    <w:p w:rsidR="00652017" w:rsidRPr="00CC116C" w:rsidRDefault="00652017" w:rsidP="00FC1EB0">
      <w:pPr>
        <w:jc w:val="right"/>
      </w:pPr>
    </w:p>
    <w:p w:rsidR="00652017" w:rsidRPr="004968AD" w:rsidRDefault="00FC1EB0" w:rsidP="00AE212A">
      <w:pPr>
        <w:ind w:firstLine="0"/>
        <w:jc w:val="right"/>
      </w:pPr>
      <w:r>
        <w:t>S</w:t>
      </w:r>
      <w:r w:rsidRPr="009D2551">
        <w:t>ILVA</w:t>
      </w:r>
      <w:r>
        <w:t xml:space="preserve">, </w:t>
      </w:r>
      <w:proofErr w:type="spellStart"/>
      <w:r w:rsidR="00652017">
        <w:t>Geisa</w:t>
      </w:r>
      <w:proofErr w:type="spellEnd"/>
      <w:r w:rsidR="00055FAE">
        <w:t xml:space="preserve"> </w:t>
      </w:r>
      <w:proofErr w:type="spellStart"/>
      <w:r w:rsidR="00652017">
        <w:t>C</w:t>
      </w:r>
      <w:r w:rsidR="00652017" w:rsidRPr="009D2551">
        <w:t>assiana</w:t>
      </w:r>
      <w:proofErr w:type="spellEnd"/>
      <w:r w:rsidR="00055FAE">
        <w:t xml:space="preserve"> </w:t>
      </w:r>
      <w:r w:rsidR="00652017">
        <w:t xml:space="preserve">Paulino da </w:t>
      </w:r>
      <w:proofErr w:type="gramStart"/>
      <w:r w:rsidR="004B67F4" w:rsidRPr="004B67F4">
        <w:rPr>
          <w:vertAlign w:val="superscript"/>
        </w:rPr>
        <w:t>1</w:t>
      </w:r>
      <w:proofErr w:type="gramEnd"/>
      <w:r w:rsidR="004B67F4">
        <w:t>;</w:t>
      </w:r>
      <w:r w:rsidR="00055FAE">
        <w:t xml:space="preserve"> </w:t>
      </w:r>
      <w:proofErr w:type="spellStart"/>
      <w:r w:rsidR="00652017">
        <w:t>Mirza</w:t>
      </w:r>
      <w:proofErr w:type="spellEnd"/>
      <w:r w:rsidR="00652017">
        <w:t xml:space="preserve"> Cunha Saraiva</w:t>
      </w:r>
      <w:r w:rsidR="004B67F4" w:rsidRPr="004B67F4">
        <w:rPr>
          <w:vertAlign w:val="superscript"/>
        </w:rPr>
        <w:t>2</w:t>
      </w:r>
      <w:r w:rsidR="004B67F4">
        <w:t>;</w:t>
      </w:r>
      <w:r w:rsidR="00055FAE">
        <w:t xml:space="preserve"> </w:t>
      </w:r>
      <w:proofErr w:type="spellStart"/>
      <w:r w:rsidR="00652017">
        <w:t>Prof</w:t>
      </w:r>
      <w:proofErr w:type="spellEnd"/>
      <w:r w:rsidR="00652017">
        <w:t xml:space="preserve"> ª </w:t>
      </w:r>
      <w:proofErr w:type="spellStart"/>
      <w:r w:rsidR="00652017">
        <w:t>Azamor</w:t>
      </w:r>
      <w:proofErr w:type="spellEnd"/>
      <w:r w:rsidR="00652017">
        <w:t xml:space="preserve"> C</w:t>
      </w:r>
      <w:r w:rsidR="004B67F4">
        <w:t>i</w:t>
      </w:r>
      <w:r w:rsidR="00055FAE">
        <w:t>r</w:t>
      </w:r>
      <w:r w:rsidR="004B67F4">
        <w:t>ne</w:t>
      </w:r>
      <w:r w:rsidR="004B67F4" w:rsidRPr="004B67F4">
        <w:rPr>
          <w:vertAlign w:val="superscript"/>
        </w:rPr>
        <w:t>3</w:t>
      </w:r>
    </w:p>
    <w:p w:rsidR="00652017" w:rsidRDefault="00652017" w:rsidP="00AE212A">
      <w:pPr>
        <w:ind w:firstLine="0"/>
        <w:jc w:val="right"/>
        <w:rPr>
          <w:b/>
          <w:sz w:val="28"/>
          <w:szCs w:val="28"/>
        </w:rPr>
      </w:pPr>
    </w:p>
    <w:p w:rsidR="00652017" w:rsidRDefault="00652017" w:rsidP="00652017">
      <w:pPr>
        <w:ind w:firstLine="0"/>
        <w:jc w:val="left"/>
        <w:rPr>
          <w:b/>
        </w:rPr>
      </w:pPr>
      <w:r w:rsidRPr="004968AD">
        <w:rPr>
          <w:b/>
        </w:rPr>
        <w:t>RESUMO</w:t>
      </w:r>
    </w:p>
    <w:p w:rsidR="00FC4C0C" w:rsidRPr="005D2F01" w:rsidRDefault="00652017" w:rsidP="008409F2">
      <w:r w:rsidRPr="005D2F01">
        <w:t xml:space="preserve">O desenvolvimento de projetos e </w:t>
      </w:r>
      <w:proofErr w:type="spellStart"/>
      <w:r w:rsidRPr="005D2F01">
        <w:t>politicas</w:t>
      </w:r>
      <w:proofErr w:type="spellEnd"/>
      <w:r w:rsidRPr="005D2F01">
        <w:t xml:space="preserve"> pedagógicas pela universidade</w:t>
      </w:r>
      <w:r w:rsidR="00CB5E93">
        <w:t xml:space="preserve"> tem a finalidade de</w:t>
      </w:r>
      <w:r w:rsidRPr="005D2F01">
        <w:t xml:space="preserve"> atingir um dos seus principais objetivos que é responder a sociedade com profissionais preparados. O programa de iniciação a docência (PID</w:t>
      </w:r>
      <w:proofErr w:type="gramStart"/>
      <w:r w:rsidRPr="005D2F01">
        <w:t>)tem</w:t>
      </w:r>
      <w:proofErr w:type="gramEnd"/>
      <w:r w:rsidRPr="005D2F01">
        <w:t xml:space="preserve"> a finalidade de prestar assistência aos professores e desenvolver, junto aos discentes, diálogos e </w:t>
      </w:r>
      <w:proofErr w:type="spellStart"/>
      <w:r w:rsidRPr="005D2F01">
        <w:t>discursões</w:t>
      </w:r>
      <w:proofErr w:type="spellEnd"/>
      <w:r w:rsidRPr="005D2F01">
        <w:t xml:space="preserve"> sobre as matérias ministradas em sala visando maximização do aprendizado.</w:t>
      </w:r>
      <w:r w:rsidR="005D2F01" w:rsidRPr="005D2F01">
        <w:t>Nesse sentido, a</w:t>
      </w:r>
      <w:r w:rsidR="008409F2" w:rsidRPr="005D2F01">
        <w:t xml:space="preserve"> monitoria </w:t>
      </w:r>
      <w:r w:rsidR="005D2F01" w:rsidRPr="005D2F01">
        <w:t>da disciplina contabilidade I</w:t>
      </w:r>
      <w:r w:rsidR="00CB5E93">
        <w:t xml:space="preserve"> </w:t>
      </w:r>
      <w:proofErr w:type="spellStart"/>
      <w:r w:rsidR="00CB5E93">
        <w:t>visa</w:t>
      </w:r>
      <w:r w:rsidR="008409F2" w:rsidRPr="005D2F01">
        <w:t>proporcionar</w:t>
      </w:r>
      <w:proofErr w:type="spellEnd"/>
      <w:r w:rsidR="008409F2" w:rsidRPr="005D2F01">
        <w:t xml:space="preserve"> ao</w:t>
      </w:r>
      <w:r w:rsidR="005D2F01" w:rsidRPr="005D2F01">
        <w:t>s</w:t>
      </w:r>
      <w:r w:rsidR="008409F2" w:rsidRPr="005D2F01">
        <w:t xml:space="preserve"> aluno</w:t>
      </w:r>
      <w:r w:rsidR="005D2F01" w:rsidRPr="005D2F01">
        <w:t>s</w:t>
      </w:r>
      <w:r w:rsidR="008409F2" w:rsidRPr="005D2F01">
        <w:t xml:space="preserve"> uma maior interação com</w:t>
      </w:r>
      <w:r w:rsidR="005D2F01">
        <w:t xml:space="preserve"> os conteúdos</w:t>
      </w:r>
      <w:r w:rsidR="00CB5E93">
        <w:t xml:space="preserve"> abordados dirimindo qualquer dificuldade que possa surgir durante </w:t>
      </w:r>
      <w:r w:rsidR="005D2F01" w:rsidRPr="005D2F01">
        <w:t>o processo</w:t>
      </w:r>
      <w:r w:rsidR="00CB5E93">
        <w:t xml:space="preserve"> de aprendizagem</w:t>
      </w:r>
      <w:r w:rsidR="005D2F01" w:rsidRPr="005D2F01">
        <w:t>. Para tanto, a</w:t>
      </w:r>
      <w:r w:rsidRPr="005D2F01">
        <w:t xml:space="preserve"> pesquisa realizada com os alunos do período 2013.1 dos cursos de Ciências Atuariais e Línguas Estrangeiras Aplicadas às Negociações Internacionais (LEA) teve como objetivo geral </w:t>
      </w:r>
      <w:r w:rsidR="0002433A" w:rsidRPr="005D2F01">
        <w:t>i</w:t>
      </w:r>
      <w:r w:rsidRPr="005D2F01">
        <w:t>nvestigar de que forma a monitoria corrobora no aprendizado dos conteúdos abordados na disciplina Contabilidade I ministrada nos cursos de Ciê</w:t>
      </w:r>
      <w:r w:rsidR="0002433A" w:rsidRPr="005D2F01">
        <w:t>ncias Atuariais e LEA</w:t>
      </w:r>
      <w:r w:rsidRPr="005D2F01">
        <w:t>.  Procedeu-se com a aplicação de um questionário estruturado em duas p</w:t>
      </w:r>
      <w:r w:rsidR="00FC4C0C" w:rsidRPr="005D2F01">
        <w:t>artes conforme objetivos da pesquisa e constatou-se que a monitoria contribui com aprendizado dos alunos ao passo que 80% dos respondentes relataram frequentar as aulas; tirar dúvidas, inclusive sobre determinados assuntos como a DRE que foi considerada difícil por mais de 30% dos entrevistados. Constatou-se também que 90% dos entrevistados estão satisfeito</w:t>
      </w:r>
      <w:r w:rsidR="007442C8" w:rsidRPr="005D2F01">
        <w:t>s</w:t>
      </w:r>
      <w:r w:rsidR="00FC4C0C" w:rsidRPr="005D2F01">
        <w:t xml:space="preserve"> com a monitoria. Dessa forma, conc</w:t>
      </w:r>
      <w:r w:rsidR="006D042C" w:rsidRPr="005D2F01">
        <w:t xml:space="preserve">lui-se que o </w:t>
      </w:r>
      <w:r w:rsidR="00CB5E93">
        <w:t>projeto monitoria exerce um papel importante</w:t>
      </w:r>
      <w:r w:rsidR="00FC4C0C" w:rsidRPr="005D2F01">
        <w:t xml:space="preserve"> no processo ensino-aprendizagem que ocorre durante o desenvolvimento do projeto.</w:t>
      </w:r>
    </w:p>
    <w:p w:rsidR="004B67F4" w:rsidRDefault="00FC4C0C" w:rsidP="00FC1EB0">
      <w:pPr>
        <w:ind w:firstLine="0"/>
      </w:pPr>
      <w:r w:rsidRPr="00436533">
        <w:rPr>
          <w:b/>
        </w:rPr>
        <w:t>Palavras</w:t>
      </w:r>
      <w:r>
        <w:rPr>
          <w:b/>
        </w:rPr>
        <w:t>-</w:t>
      </w:r>
      <w:r w:rsidRPr="00436533">
        <w:rPr>
          <w:b/>
        </w:rPr>
        <w:t>chave</w:t>
      </w:r>
      <w:r>
        <w:t>: Monitoria; Aprendizado; Conteúdos.</w:t>
      </w:r>
    </w:p>
    <w:p w:rsidR="00FC1EB0" w:rsidRPr="00FC1EB0" w:rsidRDefault="00FC1EB0" w:rsidP="00FC1EB0">
      <w:pPr>
        <w:ind w:firstLine="0"/>
      </w:pPr>
    </w:p>
    <w:p w:rsidR="00652017" w:rsidRPr="004B67F4" w:rsidRDefault="004B67F4" w:rsidP="004B67F4">
      <w:pPr>
        <w:ind w:firstLine="0"/>
        <w:rPr>
          <w:b/>
        </w:rPr>
      </w:pPr>
      <w:proofErr w:type="gramStart"/>
      <w:r>
        <w:rPr>
          <w:b/>
        </w:rPr>
        <w:t>1.</w:t>
      </w:r>
      <w:proofErr w:type="gramEnd"/>
      <w:r w:rsidR="00675E79" w:rsidRPr="004B67F4">
        <w:rPr>
          <w:b/>
        </w:rPr>
        <w:t>INTRODUÇÃO</w:t>
      </w:r>
    </w:p>
    <w:p w:rsidR="00652017" w:rsidRDefault="00652017" w:rsidP="00652017">
      <w:pPr>
        <w:ind w:firstLine="708"/>
        <w:rPr>
          <w:color w:val="000000"/>
        </w:rPr>
      </w:pPr>
      <w:r>
        <w:lastRenderedPageBreak/>
        <w:t xml:space="preserve">O Programa de Iniciação </w:t>
      </w:r>
      <w:r w:rsidRPr="00C252AB">
        <w:rPr>
          <w:color w:val="000000" w:themeColor="text1"/>
        </w:rPr>
        <w:t xml:space="preserve">a </w:t>
      </w:r>
      <w:proofErr w:type="gramStart"/>
      <w:r>
        <w:rPr>
          <w:color w:val="000000" w:themeColor="text1"/>
        </w:rPr>
        <w:t>D</w:t>
      </w:r>
      <w:r w:rsidRPr="00C252AB">
        <w:rPr>
          <w:color w:val="000000" w:themeColor="text1"/>
        </w:rPr>
        <w:t>o</w:t>
      </w:r>
      <w:r>
        <w:rPr>
          <w:color w:val="000000" w:themeColor="text1"/>
        </w:rPr>
        <w:t>c</w:t>
      </w:r>
      <w:r w:rsidRPr="00C252AB">
        <w:rPr>
          <w:color w:val="000000" w:themeColor="text1"/>
        </w:rPr>
        <w:t>ência(</w:t>
      </w:r>
      <w:proofErr w:type="gramEnd"/>
      <w:r w:rsidRPr="00C252AB">
        <w:rPr>
          <w:color w:val="000000" w:themeColor="text1"/>
        </w:rPr>
        <w:t xml:space="preserve">PID) </w:t>
      </w:r>
      <w:r>
        <w:t>possui a finalidade de prestar apoio ao professor no desenvolvimento de atividades educacionais, junto aos discentes, que aprimorem e facilitem o aprendizado possibilitando uma interação maior do aluno com os conteúdos disciplinares. C</w:t>
      </w:r>
      <w:r w:rsidRPr="00414B35">
        <w:t>onforme Lins (2008</w:t>
      </w:r>
      <w:proofErr w:type="gramStart"/>
      <w:r w:rsidRPr="00414B35">
        <w:t>),</w:t>
      </w:r>
      <w:proofErr w:type="gramEnd"/>
      <w:r>
        <w:rPr>
          <w:color w:val="000000"/>
        </w:rPr>
        <w:t xml:space="preserve">à </w:t>
      </w:r>
      <w:r w:rsidRPr="00414B35">
        <w:rPr>
          <w:color w:val="000000"/>
        </w:rPr>
        <w:t>monitoria consiste numa atividade acadêmica de natureza complementar, na qual o aluno tem a oportunidade de desenvolver e ampliar os conhecimentos adquiridos na faculdade por meio do apoio ao docente na condução da disciplina.</w:t>
      </w:r>
    </w:p>
    <w:p w:rsidR="00652017" w:rsidRDefault="00652017" w:rsidP="00652017">
      <w:pPr>
        <w:ind w:firstLine="708"/>
      </w:pPr>
      <w:r>
        <w:t xml:space="preserve">A inserção dos alunos com estudo da ciência contábil é feita através da </w:t>
      </w:r>
      <w:proofErr w:type="gramStart"/>
      <w:r>
        <w:t>disciplina</w:t>
      </w:r>
      <w:proofErr w:type="gramEnd"/>
      <w:r>
        <w:t xml:space="preserve"> C</w:t>
      </w:r>
      <w:r w:rsidRPr="00101060">
        <w:t xml:space="preserve">ontabilidade </w:t>
      </w:r>
      <w:r w:rsidRPr="00296D3E">
        <w:t>I</w:t>
      </w:r>
      <w:r>
        <w:t xml:space="preserve">, e dá-se pelo fato de ser esta o pilar </w:t>
      </w:r>
      <w:proofErr w:type="spellStart"/>
      <w:r>
        <w:t>centralque</w:t>
      </w:r>
      <w:proofErr w:type="spellEnd"/>
      <w:r>
        <w:t xml:space="preserve"> apresenta </w:t>
      </w:r>
      <w:r w:rsidRPr="00101060">
        <w:t xml:space="preserve">as primeiras noções do que </w:t>
      </w:r>
      <w:proofErr w:type="spellStart"/>
      <w:r w:rsidRPr="00101060">
        <w:t>é</w:t>
      </w:r>
      <w:r w:rsidRPr="00254077">
        <w:t>contabil</w:t>
      </w:r>
      <w:r>
        <w:t>idade</w:t>
      </w:r>
      <w:proofErr w:type="spellEnd"/>
      <w:r>
        <w:t xml:space="preserve"> e qual sua área de estudo, assim como fornece o alicerce conceitual que possibilitará o desenvolvimento de outras disciplinas do curso. </w:t>
      </w:r>
    </w:p>
    <w:p w:rsidR="00652017" w:rsidRDefault="00652017" w:rsidP="00652017">
      <w:pPr>
        <w:ind w:firstLine="708"/>
      </w:pPr>
      <w:r>
        <w:t xml:space="preserve">Conforme </w:t>
      </w:r>
      <w:proofErr w:type="spellStart"/>
      <w:proofErr w:type="gramStart"/>
      <w:r>
        <w:t>Hofer</w:t>
      </w:r>
      <w:proofErr w:type="spellEnd"/>
      <w:r>
        <w:t>,</w:t>
      </w:r>
      <w:proofErr w:type="gramEnd"/>
      <w:r>
        <w:t xml:space="preserve">Peleias e </w:t>
      </w:r>
      <w:proofErr w:type="spellStart"/>
      <w:r>
        <w:t>Wefort</w:t>
      </w:r>
      <w:proofErr w:type="spellEnd"/>
      <w:r>
        <w:t xml:space="preserve"> (2005) </w:t>
      </w:r>
      <w:r>
        <w:rPr>
          <w:color w:val="000000"/>
          <w:shd w:val="clear" w:color="auto" w:fill="FFFFFF"/>
        </w:rPr>
        <w:t xml:space="preserve">a importância de se </w:t>
      </w:r>
      <w:r w:rsidRPr="00FC0C81">
        <w:rPr>
          <w:color w:val="000000"/>
          <w:shd w:val="clear" w:color="auto" w:fill="FFFFFF"/>
        </w:rPr>
        <w:t>estudar Contabilidade Introdutór</w:t>
      </w:r>
      <w:r w:rsidR="00FC4C0C">
        <w:rPr>
          <w:color w:val="000000"/>
          <w:shd w:val="clear" w:color="auto" w:fill="FFFFFF"/>
        </w:rPr>
        <w:t xml:space="preserve">ia fundamenta-se, por </w:t>
      </w:r>
      <w:proofErr w:type="spellStart"/>
      <w:r w:rsidR="00FC4C0C">
        <w:rPr>
          <w:color w:val="000000"/>
          <w:shd w:val="clear" w:color="auto" w:fill="FFFFFF"/>
        </w:rPr>
        <w:t>se</w:t>
      </w:r>
      <w:r w:rsidRPr="00FC0C81">
        <w:rPr>
          <w:color w:val="000000"/>
          <w:shd w:val="clear" w:color="auto" w:fill="FFFFFF"/>
        </w:rPr>
        <w:t>à</w:t>
      </w:r>
      <w:proofErr w:type="spellEnd"/>
      <w:r w:rsidRPr="00FC0C81">
        <w:rPr>
          <w:color w:val="000000"/>
          <w:shd w:val="clear" w:color="auto" w:fill="FFFFFF"/>
        </w:rPr>
        <w:t xml:space="preserve"> ba</w:t>
      </w:r>
      <w:r w:rsidR="00BA1013">
        <w:rPr>
          <w:color w:val="000000"/>
          <w:shd w:val="clear" w:color="auto" w:fill="FFFFFF"/>
        </w:rPr>
        <w:t>se das disciplinas contábeis no decorrer do</w:t>
      </w:r>
      <w:r w:rsidRPr="00FC0C81">
        <w:rPr>
          <w:color w:val="000000"/>
          <w:shd w:val="clear" w:color="auto" w:fill="FFFFFF"/>
        </w:rPr>
        <w:t xml:space="preserve"> curso superior. Esse conjunto de conhecimentos contábeis é fator decisivo para o sucesso dos futuros contadore</w:t>
      </w:r>
      <w:r>
        <w:rPr>
          <w:color w:val="000000"/>
          <w:shd w:val="clear" w:color="auto" w:fill="FFFFFF"/>
        </w:rPr>
        <w:t xml:space="preserve">s e </w:t>
      </w:r>
      <w:r w:rsidRPr="00254077">
        <w:t>determina em muitos casos, ao atendimento ou não, das expectativas dos alunos em relação</w:t>
      </w:r>
      <w:r>
        <w:t xml:space="preserve"> ao curso de C</w:t>
      </w:r>
      <w:r w:rsidRPr="00254077">
        <w:t xml:space="preserve">iências </w:t>
      </w:r>
      <w:r>
        <w:t>C</w:t>
      </w:r>
      <w:r w:rsidRPr="00254077">
        <w:t>ontábeis.</w:t>
      </w:r>
    </w:p>
    <w:p w:rsidR="00FC4C0C" w:rsidRDefault="00652017" w:rsidP="00FC4C0C">
      <w:r>
        <w:t xml:space="preserve">No entanto, não somente para o Bacharelado em Ciências Contábeis </w:t>
      </w:r>
      <w:r w:rsidRPr="00254077">
        <w:t xml:space="preserve">é ministrada essa disciplina, </w:t>
      </w:r>
      <w:proofErr w:type="spellStart"/>
      <w:r>
        <w:t>mastambém</w:t>
      </w:r>
      <w:proofErr w:type="spellEnd"/>
      <w:r>
        <w:t xml:space="preserve"> para outros cursos, como C</w:t>
      </w:r>
      <w:r w:rsidRPr="00254077">
        <w:t>iência</w:t>
      </w:r>
      <w:r>
        <w:t>s A</w:t>
      </w:r>
      <w:r w:rsidRPr="00254077">
        <w:t>tuaria</w:t>
      </w:r>
      <w:r>
        <w:t>i</w:t>
      </w:r>
      <w:r w:rsidRPr="00254077">
        <w:t xml:space="preserve">s e </w:t>
      </w:r>
      <w:r>
        <w:t>Línguas Estrangeiras Aplicadas às Negociações Internacionais (LEA</w:t>
      </w:r>
      <w:proofErr w:type="gramStart"/>
      <w:r>
        <w:t>).</w:t>
      </w:r>
      <w:proofErr w:type="gramEnd"/>
      <w:r w:rsidR="00FC4C0C" w:rsidRPr="00254077">
        <w:t>O objetivo</w:t>
      </w:r>
      <w:r w:rsidR="00FC4C0C">
        <w:t xml:space="preserve"> da disciplina</w:t>
      </w:r>
      <w:r w:rsidR="00FC4C0C" w:rsidRPr="00254077">
        <w:t>, conforme</w:t>
      </w:r>
      <w:r w:rsidR="00FC4C0C">
        <w:t xml:space="preserve"> plano de ensino</w:t>
      </w:r>
      <w:r w:rsidR="00FC4C0C" w:rsidRPr="00254077">
        <w:t xml:space="preserve">,é capacitar </w:t>
      </w:r>
      <w:r w:rsidR="00FC4C0C">
        <w:t>o aluno</w:t>
      </w:r>
      <w:r w:rsidR="00FC4C0C" w:rsidRPr="00254077">
        <w:t xml:space="preserve"> a compreender a linguagem e as técnicas da Ciência Contábil.</w:t>
      </w:r>
    </w:p>
    <w:p w:rsidR="00FC4C0C" w:rsidRPr="00CA6F00" w:rsidRDefault="00FC4C0C" w:rsidP="00FC4C0C">
      <w:pPr>
        <w:rPr>
          <w:b/>
        </w:rPr>
      </w:pPr>
      <w:r w:rsidRPr="00824FC8">
        <w:t xml:space="preserve">Diante do exposto, surge o seguinte problema de pesquisa: </w:t>
      </w:r>
      <w:r w:rsidRPr="00CA6F00">
        <w:rPr>
          <w:b/>
        </w:rPr>
        <w:t>De que forma a monitoria corrobora no aprendizado dos conteúdos abordados na disciplina Contabilidade I ministrada nos cursos de Ciências Atuariais e LEA?</w:t>
      </w:r>
    </w:p>
    <w:p w:rsidR="00FC4C0C" w:rsidRPr="00296D3E" w:rsidRDefault="00FC4C0C" w:rsidP="00FC4C0C">
      <w:r w:rsidRPr="00296D3E">
        <w:t>Para responder o problema, determinou-se como objetivo geral: Investigar de que forma a monitoria corrobora no aprendizado dos conteúdos abordados na disciplina Contabilidade I ministrada nos cursos de Ciências Atuariais e LEA.</w:t>
      </w:r>
    </w:p>
    <w:p w:rsidR="00FC4C0C" w:rsidRPr="00296D3E" w:rsidRDefault="00FC4C0C" w:rsidP="00FC4C0C">
      <w:r w:rsidRPr="00296D3E">
        <w:t>Objetivos específicos:</w:t>
      </w:r>
    </w:p>
    <w:p w:rsidR="00FC4C0C" w:rsidRPr="00296D3E" w:rsidRDefault="00FC4C0C" w:rsidP="00FC4C0C">
      <w:r w:rsidRPr="00296D3E">
        <w:t>Verificar os possíveis assuntos ministrados na disciplina Contabilidade I com maior dificuldade de compreensão por parte dos discentes;</w:t>
      </w:r>
    </w:p>
    <w:p w:rsidR="00FC4C0C" w:rsidRDefault="00FC4C0C" w:rsidP="00FC4C0C">
      <w:r w:rsidRPr="00296D3E">
        <w:t xml:space="preserve">Identificar o número de discentes que frequentam a monitoria, bem como o nível de satisfação destes com as aulas e explicações da monitora. </w:t>
      </w:r>
    </w:p>
    <w:p w:rsidR="0035763F" w:rsidRDefault="0035763F" w:rsidP="0035763F">
      <w:r w:rsidRPr="006B5DDB">
        <w:t xml:space="preserve">A justificativa da pesquisa está ligada a preocupação com o reforço dado pela monitoria ao aprendizado dos alunos que não fazem parte do bacharelado em contabilidade, mas que tem em sua grade curricular a disciplina contabilidade </w:t>
      </w:r>
      <w:r w:rsidRPr="00296D3E">
        <w:t>I</w:t>
      </w:r>
      <w:r w:rsidRPr="006B5DDB">
        <w:t xml:space="preserve"> integrada à carga </w:t>
      </w:r>
      <w:proofErr w:type="spellStart"/>
      <w:r w:rsidRPr="006B5DDB">
        <w:t>horaria</w:t>
      </w:r>
      <w:proofErr w:type="spellEnd"/>
      <w:r w:rsidRPr="006B5DDB">
        <w:t xml:space="preserve"> obrigatória. </w:t>
      </w:r>
    </w:p>
    <w:p w:rsidR="0035763F" w:rsidRPr="00296D3E" w:rsidRDefault="0035763F" w:rsidP="0035763F">
      <w:r>
        <w:t>De acordo com</w:t>
      </w:r>
      <w:r w:rsidRPr="006B5DDB">
        <w:t xml:space="preserve"> </w:t>
      </w:r>
      <w:proofErr w:type="gramStart"/>
      <w:r w:rsidRPr="006B5DDB">
        <w:t>Quirino,</w:t>
      </w:r>
      <w:proofErr w:type="spellStart"/>
      <w:proofErr w:type="gramEnd"/>
      <w:r w:rsidRPr="006B5DDB">
        <w:t>Segantini</w:t>
      </w:r>
      <w:proofErr w:type="spellEnd"/>
      <w:r w:rsidRPr="006B5DDB">
        <w:t>, Vieira (2010) o ensino de disciplinas específicas da área de contabilidade geram para alguns alunos do curso</w:t>
      </w:r>
      <w:r>
        <w:t>,</w:t>
      </w:r>
      <w:r w:rsidRPr="006B5DDB">
        <w:t xml:space="preserve"> dificuldades na assimilação do</w:t>
      </w:r>
      <w:r>
        <w:t>s assuntos apresentados pelos dis</w:t>
      </w:r>
      <w:r w:rsidRPr="006B5DDB">
        <w:t>centes.</w:t>
      </w:r>
    </w:p>
    <w:p w:rsidR="00BA1013" w:rsidRPr="00064674" w:rsidRDefault="00BA1013" w:rsidP="00BA1013">
      <w:r>
        <w:t xml:space="preserve">Nesse sentido o monitor exerce o papel de facilitador no processo de aprendizagem nos encontros com os docentes extraclasses, e auxiliador na execução de atividades desenvolvidas pelo professor em sala. Corroboram com </w:t>
      </w:r>
      <w:r w:rsidRPr="000D5D86">
        <w:t xml:space="preserve">essa ideia Quirino, </w:t>
      </w:r>
      <w:proofErr w:type="spellStart"/>
      <w:r w:rsidRPr="000D5D86">
        <w:t>Segantini</w:t>
      </w:r>
      <w:proofErr w:type="spellEnd"/>
      <w:r w:rsidRPr="000D5D86">
        <w:t>, Vieira (2010)</w:t>
      </w:r>
      <w:r>
        <w:t xml:space="preserve"> quando afirmam que a </w:t>
      </w:r>
      <w:r w:rsidRPr="000D5D86">
        <w:rPr>
          <w:color w:val="000000"/>
        </w:rPr>
        <w:t>monitoria é vista como um serviço de apoio educacional oferecido aos alunos interessados em aprofundar os conteúdos ou sanar dúvidas em relação ao conteúdo ministrado em sala.</w:t>
      </w:r>
    </w:p>
    <w:p w:rsidR="00BA1013" w:rsidRDefault="00BA1013" w:rsidP="00BA1013">
      <w:pPr>
        <w:ind w:firstLine="0"/>
        <w:rPr>
          <w:b/>
        </w:rPr>
      </w:pPr>
    </w:p>
    <w:p w:rsidR="00BA1013" w:rsidRDefault="00BA1013" w:rsidP="00FC1EB0">
      <w:pPr>
        <w:ind w:firstLine="0"/>
        <w:rPr>
          <w:b/>
        </w:rPr>
      </w:pPr>
      <w:r w:rsidRPr="00E35718">
        <w:rPr>
          <w:b/>
        </w:rPr>
        <w:t>2</w:t>
      </w:r>
      <w:r w:rsidR="00675E79">
        <w:rPr>
          <w:b/>
        </w:rPr>
        <w:t>.</w:t>
      </w:r>
      <w:r w:rsidRPr="00E35718">
        <w:rPr>
          <w:b/>
        </w:rPr>
        <w:t xml:space="preserve"> PROCEDIMENTOS METODOLÓGICOS </w:t>
      </w:r>
    </w:p>
    <w:p w:rsidR="00BA1013" w:rsidRPr="00EE6875" w:rsidRDefault="00BA1013" w:rsidP="00BA1013">
      <w:pPr>
        <w:ind w:firstLine="0"/>
        <w:jc w:val="left"/>
        <w:rPr>
          <w:b/>
        </w:rPr>
      </w:pPr>
      <w:r>
        <w:rPr>
          <w:b/>
        </w:rPr>
        <w:t>2.1</w:t>
      </w:r>
      <w:r w:rsidRPr="00EE6875">
        <w:rPr>
          <w:b/>
        </w:rPr>
        <w:t>Tipologia</w:t>
      </w:r>
    </w:p>
    <w:p w:rsidR="00BA1013" w:rsidRDefault="00BA1013" w:rsidP="00BA1013">
      <w:r>
        <w:t>Foi realizada pesquisa bibliográfica, através de</w:t>
      </w:r>
      <w:r w:rsidRPr="00254077">
        <w:t xml:space="preserve"> artigos</w:t>
      </w:r>
      <w:r>
        <w:t xml:space="preserve"> e i</w:t>
      </w:r>
      <w:r w:rsidRPr="00254077">
        <w:t>nternet</w:t>
      </w:r>
      <w:r>
        <w:t xml:space="preserve">, </w:t>
      </w:r>
      <w:r w:rsidRPr="00254077">
        <w:t>buscando relatos de experiências para melhor compreensão em relação ao PID comumente chamado de projeto de monitoria</w:t>
      </w:r>
      <w:r>
        <w:t xml:space="preserve">. Também </w:t>
      </w:r>
      <w:r w:rsidRPr="00254077">
        <w:t xml:space="preserve">foi feito </w:t>
      </w:r>
      <w:r>
        <w:t xml:space="preserve">um </w:t>
      </w:r>
      <w:proofErr w:type="spellStart"/>
      <w:r>
        <w:t>levantamentoatravés</w:t>
      </w:r>
      <w:proofErr w:type="spellEnd"/>
      <w:r>
        <w:t xml:space="preserve"> de </w:t>
      </w:r>
      <w:r w:rsidRPr="00254077">
        <w:t>questionário</w:t>
      </w:r>
      <w:r>
        <w:t xml:space="preserve"> como meio de “interrogação direta das pessoas cujo comportamento se deseja </w:t>
      </w:r>
      <w:proofErr w:type="gramStart"/>
      <w:r>
        <w:t>conhecer</w:t>
      </w:r>
      <w:proofErr w:type="gramEnd"/>
      <w:r>
        <w:t xml:space="preserve">” (GIL,1991 </w:t>
      </w:r>
      <w:proofErr w:type="spellStart"/>
      <w:r w:rsidRPr="00831F4B">
        <w:rPr>
          <w:i/>
        </w:rPr>
        <w:t>apud</w:t>
      </w:r>
      <w:r w:rsidRPr="00831F4B">
        <w:rPr>
          <w:shd w:val="clear" w:color="auto" w:fill="FFFFFF"/>
        </w:rPr>
        <w:t>SILVA</w:t>
      </w:r>
      <w:proofErr w:type="spellEnd"/>
      <w:r w:rsidRPr="00831F4B">
        <w:rPr>
          <w:shd w:val="clear" w:color="auto" w:fill="FFFFFF"/>
        </w:rPr>
        <w:t xml:space="preserve"> e MENEZES</w:t>
      </w:r>
      <w:r>
        <w:rPr>
          <w:shd w:val="clear" w:color="auto" w:fill="FFFFFF"/>
        </w:rPr>
        <w:t>,</w:t>
      </w:r>
      <w:r w:rsidRPr="00CA709C">
        <w:rPr>
          <w:shd w:val="clear" w:color="auto" w:fill="FFFFFF"/>
        </w:rPr>
        <w:t>2005, p.33).</w:t>
      </w:r>
    </w:p>
    <w:p w:rsidR="004D5FF7" w:rsidRPr="00FC1EB0" w:rsidRDefault="00BA1013" w:rsidP="00FC1EB0">
      <w:r>
        <w:t>O instrumento para obtenção dos dados foi um questionário que, conforme Silva e Menezes (2005, p.33), “</w:t>
      </w:r>
      <w:r w:rsidRPr="00DD16F3">
        <w:t>é uma série ordenada de perguntas que devem ser respondidas por escrito pelo informante</w:t>
      </w:r>
      <w:r>
        <w:t>”</w:t>
      </w:r>
      <w:r w:rsidRPr="00DD16F3">
        <w:t>.</w:t>
      </w:r>
    </w:p>
    <w:p w:rsidR="00AE212A" w:rsidRDefault="00BA1013" w:rsidP="00FC1EB0">
      <w:pPr>
        <w:ind w:firstLine="0"/>
        <w:rPr>
          <w:b/>
        </w:rPr>
      </w:pPr>
      <w:r>
        <w:rPr>
          <w:b/>
        </w:rPr>
        <w:t>2.2 População e amostra</w:t>
      </w:r>
    </w:p>
    <w:p w:rsidR="00BA1013" w:rsidRDefault="00BA1013" w:rsidP="00AE212A">
      <w:pPr>
        <w:ind w:firstLine="708"/>
      </w:pPr>
      <w:r>
        <w:t>O púbico pesquisado é formado pelos alunos das</w:t>
      </w:r>
      <w:r w:rsidRPr="00254077">
        <w:t xml:space="preserve"> turmas de </w:t>
      </w:r>
      <w:r>
        <w:t>C</w:t>
      </w:r>
      <w:r w:rsidRPr="00254077">
        <w:t xml:space="preserve">iências </w:t>
      </w:r>
      <w:r>
        <w:t>A</w:t>
      </w:r>
      <w:r w:rsidRPr="00254077">
        <w:t xml:space="preserve">tuariais e Línguas </w:t>
      </w:r>
      <w:r>
        <w:t>E</w:t>
      </w:r>
      <w:r w:rsidRPr="00254077">
        <w:t xml:space="preserve">strangeiras Aplicadas às </w:t>
      </w:r>
      <w:r>
        <w:t>N</w:t>
      </w:r>
      <w:r w:rsidRPr="00254077">
        <w:t xml:space="preserve">egociações </w:t>
      </w:r>
      <w:r>
        <w:t>I</w:t>
      </w:r>
      <w:r w:rsidRPr="00254077">
        <w:t xml:space="preserve">nternacionais (LEA) do período 2013.1 respectivamente dos Centros de ciências Sociais Aplicadas (CCSA) e de Humanas, Letras e Artes (CCHLA) da </w:t>
      </w:r>
      <w:r>
        <w:t>Universidade Federal da Paraíba.</w:t>
      </w:r>
    </w:p>
    <w:p w:rsidR="00FC1EB0" w:rsidRPr="00FC1EB0" w:rsidRDefault="00BA1013" w:rsidP="00AE212A">
      <w:pPr>
        <w:autoSpaceDE w:val="0"/>
        <w:autoSpaceDN w:val="0"/>
        <w:adjustRightInd w:val="0"/>
        <w:ind w:firstLine="708"/>
      </w:pPr>
      <w:r>
        <w:t xml:space="preserve">População é um conjunto de indivíduos que tem as mesmas características solicitadas pelo estudo a ser realizado (SILVA E MENEZES, 2005). Para tanto, do universo populacional quantitativamente composto por 13(treze) alunos do curso LEA e 24(vinte e quatro) do curso de Ciências Atuariais somando-se um total de 37(trinta e sete). Para a pesquisa foi extraído uma amostra de 20 (vinte) respondentes, o que </w:t>
      </w:r>
      <w:r w:rsidRPr="00C32FD6">
        <w:t xml:space="preserve">segundo Martins (2002, p. 43), “é </w:t>
      </w:r>
      <w:proofErr w:type="spellStart"/>
      <w:r w:rsidRPr="00C32FD6">
        <w:t>umsubconjunto</w:t>
      </w:r>
      <w:proofErr w:type="spellEnd"/>
      <w:r w:rsidRPr="00C32FD6">
        <w:t xml:space="preserve"> da população”</w:t>
      </w:r>
      <w:r>
        <w:t xml:space="preserve"> que representa um percentual de 54% relativo à população pesquisada.</w:t>
      </w:r>
    </w:p>
    <w:p w:rsidR="00BA1013" w:rsidRPr="00EE6875" w:rsidRDefault="00BA1013" w:rsidP="00BA1013">
      <w:pPr>
        <w:ind w:firstLine="0"/>
        <w:rPr>
          <w:b/>
        </w:rPr>
      </w:pPr>
      <w:r>
        <w:rPr>
          <w:b/>
        </w:rPr>
        <w:t xml:space="preserve">2.3 </w:t>
      </w:r>
      <w:r w:rsidRPr="00EE6875">
        <w:rPr>
          <w:b/>
        </w:rPr>
        <w:t xml:space="preserve">Coleta </w:t>
      </w:r>
      <w:r>
        <w:rPr>
          <w:b/>
        </w:rPr>
        <w:t>e tratamento dos</w:t>
      </w:r>
      <w:r w:rsidRPr="00EE6875">
        <w:rPr>
          <w:b/>
        </w:rPr>
        <w:t xml:space="preserve"> dados</w:t>
      </w:r>
    </w:p>
    <w:p w:rsidR="00BA1013" w:rsidRDefault="00BA1013" w:rsidP="00BA1013">
      <w:pPr>
        <w:ind w:firstLine="0"/>
      </w:pPr>
      <w:r>
        <w:tab/>
        <w:t>Para a realização da coleta de dados procedeu-se a aplicação de um questionário que foi divido</w:t>
      </w:r>
      <w:r w:rsidRPr="00230A2F">
        <w:t xml:space="preserve"> em duas partes: a primeira possui enumerados os conteúdos selecionados através da ementa da disciplina e disposto em uma escala </w:t>
      </w:r>
      <w:proofErr w:type="spellStart"/>
      <w:r w:rsidRPr="00230A2F">
        <w:rPr>
          <w:i/>
        </w:rPr>
        <w:t>Likert</w:t>
      </w:r>
      <w:r>
        <w:t>por</w:t>
      </w:r>
      <w:proofErr w:type="spellEnd"/>
      <w:r>
        <w:t xml:space="preserve"> ser um tipo de escala de resposta psicométrica ou quantitativa usada comumente em questionários para avaliar o grau</w:t>
      </w:r>
      <w:r w:rsidRPr="00230A2F">
        <w:t xml:space="preserve"> de concordância</w:t>
      </w:r>
      <w:r>
        <w:t xml:space="preserve">. </w:t>
      </w:r>
    </w:p>
    <w:p w:rsidR="00BA1013" w:rsidRDefault="00BA1013" w:rsidP="00BA1013">
      <w:pPr>
        <w:ind w:firstLine="708"/>
      </w:pPr>
      <w:r>
        <w:t xml:space="preserve">Assim, a enumeração dos níveis procedeu da seguinte </w:t>
      </w:r>
      <w:proofErr w:type="gramStart"/>
      <w:r>
        <w:t>forma:</w:t>
      </w:r>
      <w:proofErr w:type="gramEnd"/>
      <w:r w:rsidRPr="00230A2F">
        <w:t>1 (um) representava “muito fácil”, 2 (dois) “fácil”, 3 (três) “razoável”, 4 (quatro) “difícil”, e 5 (cinco) “muito difícil”.A</w:t>
      </w:r>
      <w:r>
        <w:t xml:space="preserve"> segunda parte tratava de questões fechadas relativas à como a monitoria contribui para completar o aprendizado já iniciado em sala, assim como verificar a assiduidade dos alunos nos encontros (aulas de monitoria) e o nível de satisfação dos mesmos com o projeto decorrido no período 2013.1.  </w:t>
      </w:r>
    </w:p>
    <w:p w:rsidR="00BA1013" w:rsidRDefault="00BA1013" w:rsidP="00AE212A">
      <w:pPr>
        <w:ind w:firstLine="708"/>
      </w:pPr>
      <w:r>
        <w:t xml:space="preserve"> Os dados coletados em agosto de 2013, foram transcritos em planilhas no Microsoft Excel, versão 2010 para melhor estruturação e análise dos resultados encontrados.</w:t>
      </w:r>
    </w:p>
    <w:p w:rsidR="00FC1EB0" w:rsidRPr="00FC1EB0" w:rsidRDefault="00BA1013" w:rsidP="00FC1EB0">
      <w:pPr>
        <w:pStyle w:val="Ttulo1"/>
        <w:numPr>
          <w:ilvl w:val="0"/>
          <w:numId w:val="0"/>
        </w:numPr>
        <w:spacing w:after="120"/>
      </w:pPr>
      <w:proofErr w:type="gramStart"/>
      <w:r w:rsidRPr="00901813">
        <w:rPr>
          <w:rFonts w:cs="Times New Roman"/>
        </w:rPr>
        <w:t>3</w:t>
      </w:r>
      <w:r w:rsidR="00675E79">
        <w:rPr>
          <w:rFonts w:cs="Times New Roman"/>
        </w:rPr>
        <w:t>.</w:t>
      </w:r>
      <w:proofErr w:type="gramEnd"/>
      <w:r w:rsidRPr="00901813">
        <w:rPr>
          <w:rFonts w:cs="Times New Roman"/>
        </w:rPr>
        <w:t>APRESEN</w:t>
      </w:r>
      <w:r w:rsidR="00675E79">
        <w:t>TAÇÃO E ANÁ</w:t>
      </w:r>
      <w:r w:rsidRPr="00901813">
        <w:t>LISE DOS RESULTADOS</w:t>
      </w:r>
    </w:p>
    <w:p w:rsidR="00BA1013" w:rsidRDefault="00BA1013" w:rsidP="00BA1013">
      <w:pPr>
        <w:ind w:firstLine="708"/>
      </w:pPr>
      <w:r>
        <w:t xml:space="preserve">Os dados desta pesquisa são oriundos de uma amostra de 20 respondentes, de um universo populacional de 37 discentes. </w:t>
      </w:r>
    </w:p>
    <w:p w:rsidR="00BA1013" w:rsidRDefault="00675E79" w:rsidP="00BA1013">
      <w:pPr>
        <w:ind w:firstLine="708"/>
      </w:pPr>
      <w:r>
        <w:t xml:space="preserve"> Assim ao serem questionados sobre </w:t>
      </w:r>
      <w:r w:rsidR="00BA1013" w:rsidRPr="00214DA8">
        <w:t xml:space="preserve">o nível de dificuldade em entenderem conceitos sobre o que seria contabilidade, seu objeto e objetivo assim como o conceito dos princípios contábeis, observou-se que 47,5% acham razoável, enquanto 20% </w:t>
      </w:r>
      <w:r w:rsidR="00BA1013" w:rsidRPr="00214DA8">
        <w:lastRenderedPageBreak/>
        <w:t>acreditam ser fácil, ficando 6,25% com as alternativas difícil e muito difícil cada uma, além dos 12,5% que consideram muito fácil e 7,5% que optaram por não responder</w:t>
      </w:r>
      <w:r w:rsidR="00BA1013">
        <w:t>.</w:t>
      </w:r>
    </w:p>
    <w:p w:rsidR="00BA1013" w:rsidRDefault="00BA1013" w:rsidP="00BA1013">
      <w:pPr>
        <w:ind w:firstLine="708"/>
      </w:pPr>
      <w:r>
        <w:t>Em relação à compreensão do conceito e classificação do ativo e do passivo, respectivamente, 50% e 60% dos entrevistados disseram ser fácil.</w:t>
      </w:r>
    </w:p>
    <w:p w:rsidR="00BA1013" w:rsidRDefault="004D5FF7" w:rsidP="00BA1013">
      <w:pPr>
        <w:ind w:firstLine="708"/>
      </w:pPr>
      <w:r>
        <w:t xml:space="preserve">O conceito e classificação </w:t>
      </w:r>
      <w:proofErr w:type="spellStart"/>
      <w:r>
        <w:t>de</w:t>
      </w:r>
      <w:r w:rsidR="00BA1013">
        <w:t>receita</w:t>
      </w:r>
      <w:r>
        <w:t>s</w:t>
      </w:r>
      <w:proofErr w:type="spellEnd"/>
      <w:r w:rsidR="00BA1013">
        <w:t>, despesa</w:t>
      </w:r>
      <w:r>
        <w:t>s</w:t>
      </w:r>
      <w:r w:rsidR="00BA1013">
        <w:t xml:space="preserve"> e patrimônio líquido ficaram com mais de 30 % afirmando ser razoável o nível de dificuldade. Verificou-se também que</w:t>
      </w:r>
      <w:r>
        <w:t xml:space="preserve"> nesse sentido</w:t>
      </w:r>
      <w:r w:rsidR="00BA1013">
        <w:t xml:space="preserve"> a DRE</w:t>
      </w:r>
      <w:r>
        <w:t xml:space="preserve"> (Demonstração do Resultado do Exercício) </w:t>
      </w:r>
      <w:r w:rsidR="00BA1013">
        <w:t>apresentou um percentual de mais de 40% que diz ser razoável ficando o BP com 50% que também afirmaram ser razoável.</w:t>
      </w:r>
    </w:p>
    <w:p w:rsidR="00BA1013" w:rsidRDefault="00BA1013" w:rsidP="00BA1013">
      <w:pPr>
        <w:ind w:firstLine="708"/>
      </w:pPr>
      <w:r w:rsidRPr="000A2CF5">
        <w:t>Já em relação ao a compreensão da estrutura e composiç</w:t>
      </w:r>
      <w:r>
        <w:t xml:space="preserve">ão do BP </w:t>
      </w:r>
      <w:r w:rsidR="00675E79">
        <w:t xml:space="preserve">(Balanço Patrimonial) </w:t>
      </w:r>
      <w:r>
        <w:t xml:space="preserve">e a </w:t>
      </w:r>
      <w:proofErr w:type="spellStart"/>
      <w:proofErr w:type="gramStart"/>
      <w:r>
        <w:t>DREobservou</w:t>
      </w:r>
      <w:proofErr w:type="gramEnd"/>
      <w:r>
        <w:t>-se</w:t>
      </w:r>
      <w:proofErr w:type="spellEnd"/>
      <w:r>
        <w:t xml:space="preserve"> que as duas demonstrações não apresentam o mesmo nível de dificuldade.A DRE é considerada difícil por mais de 20%, enquanto que o </w:t>
      </w:r>
      <w:proofErr w:type="spellStart"/>
      <w:r>
        <w:t>BPé</w:t>
      </w:r>
      <w:proofErr w:type="spellEnd"/>
      <w:r>
        <w:t xml:space="preserve"> considerado fácil por mais de 40% dos entrevistados.</w:t>
      </w:r>
    </w:p>
    <w:p w:rsidR="00BA1013" w:rsidRDefault="004D5FF7" w:rsidP="00BA1013">
      <w:pPr>
        <w:ind w:firstLine="708"/>
      </w:pPr>
      <w:r>
        <w:t xml:space="preserve">Investigou-se </w:t>
      </w:r>
      <w:proofErr w:type="gramStart"/>
      <w:r>
        <w:t>também</w:t>
      </w:r>
      <w:r w:rsidR="00692C44">
        <w:t>,</w:t>
      </w:r>
      <w:proofErr w:type="gramEnd"/>
      <w:r w:rsidR="00675E79">
        <w:t xml:space="preserve">qual o nível de </w:t>
      </w:r>
      <w:proofErr w:type="spellStart"/>
      <w:r w:rsidR="00675E79">
        <w:t>dificuldadeenfrentado</w:t>
      </w:r>
      <w:proofErr w:type="spellEnd"/>
      <w:r w:rsidR="00675E79">
        <w:t xml:space="preserve"> pelos alunos em </w:t>
      </w:r>
      <w:r w:rsidR="00675E79" w:rsidRPr="000F6C4A">
        <w:t>relação aos métodos e técnicas usados pela contabilidade para executar os registros</w:t>
      </w:r>
      <w:r w:rsidR="00675E79">
        <w:t xml:space="preserve"> (escrituração contábil)</w:t>
      </w:r>
      <w:r w:rsidR="00675E79" w:rsidRPr="000F6C4A">
        <w:t xml:space="preserve"> das transações econômicas.</w:t>
      </w:r>
    </w:p>
    <w:p w:rsidR="00675E79" w:rsidRDefault="00675E79" w:rsidP="00692C44">
      <w:r>
        <w:t xml:space="preserve">Observou-se que 80% dos respondentes afirmaram que o assunto atos e fatos administrativos é </w:t>
      </w:r>
      <w:proofErr w:type="gramStart"/>
      <w:r>
        <w:t>razoável</w:t>
      </w:r>
      <w:proofErr w:type="gramEnd"/>
      <w:r>
        <w:t xml:space="preserve"> e 20% afirmam ser fácil. Regime de caixa e plano de contas </w:t>
      </w:r>
      <w:proofErr w:type="gramStart"/>
      <w:r>
        <w:t>foram</w:t>
      </w:r>
      <w:proofErr w:type="gramEnd"/>
      <w:r>
        <w:t xml:space="preserve"> considerados como fácil por 45%, assim como 25% ainda afirmaram achar o plano de contas difícil.</w:t>
      </w:r>
    </w:p>
    <w:p w:rsidR="00675E79" w:rsidRDefault="00675E79" w:rsidP="00675E79">
      <w:r>
        <w:t>Lançamentos contábeis e partidas dobradas representam nível de dificuldade razoável em 65% e 60% dos respondentes, respectivamente. Já para a apuração de resultado, 45% dos entrevistados classificaram como razoável e apenas 15% como difícil.</w:t>
      </w:r>
    </w:p>
    <w:p w:rsidR="00675E79" w:rsidRDefault="00675E79" w:rsidP="00675E79">
      <w:r>
        <w:t xml:space="preserve">Na </w:t>
      </w:r>
      <w:r w:rsidRPr="00F846AC">
        <w:t>Segunda parte dos questi</w:t>
      </w:r>
      <w:r>
        <w:t>o</w:t>
      </w:r>
      <w:r w:rsidRPr="00F846AC">
        <w:t>namentos buscou</w:t>
      </w:r>
      <w:r>
        <w:t>-se verificar se a monitoria auxilia no</w:t>
      </w:r>
      <w:r w:rsidRPr="00254077">
        <w:t xml:space="preserve"> processo</w:t>
      </w:r>
      <w:r>
        <w:t xml:space="preserve"> </w:t>
      </w:r>
      <w:proofErr w:type="spellStart"/>
      <w:r>
        <w:t>defacilitação</w:t>
      </w:r>
      <w:proofErr w:type="spellEnd"/>
      <w:r>
        <w:t xml:space="preserve"> e maximização do aprendizado de </w:t>
      </w:r>
      <w:r w:rsidRPr="00254077">
        <w:t xml:space="preserve">conteúdos </w:t>
      </w:r>
      <w:r>
        <w:t>contidos na ementa.</w:t>
      </w:r>
    </w:p>
    <w:p w:rsidR="00675E79" w:rsidRDefault="00675E79" w:rsidP="00675E79">
      <w:r>
        <w:t xml:space="preserve"> Dessa forma constatou-se que 80% dos alunos entrevistados frequentam a monitoria enquanto 15% </w:t>
      </w:r>
      <w:proofErr w:type="spellStart"/>
      <w:r>
        <w:t>afirmaramnão</w:t>
      </w:r>
      <w:proofErr w:type="spellEnd"/>
      <w:r>
        <w:t xml:space="preserve"> frequentar e 5% não responderam. Verificou-se também que 80% </w:t>
      </w:r>
      <w:proofErr w:type="spellStart"/>
      <w:r>
        <w:t>disseramter</w:t>
      </w:r>
      <w:proofErr w:type="spellEnd"/>
      <w:r>
        <w:t xml:space="preserve"> dúvidas quanto aos conteúdos estudados na disciplina. Portanto, a relação entre as duas afirmativas sugere que a preocupação em entender a matéria conduz o aluno a buscar a monitoria como meio de melhorar seu rendimento na disciplina. </w:t>
      </w:r>
    </w:p>
    <w:p w:rsidR="00675E79" w:rsidRDefault="00675E79" w:rsidP="00692C44">
      <w:pPr>
        <w:ind w:firstLine="708"/>
      </w:pPr>
      <w:r>
        <w:t xml:space="preserve">Quando perguntados sobre se tiram duvidas com o monitor e se obtiveram respostas satisfatórias 90% dos que responderam disseram que sim. Quanto às explicações e as resoluções dos exercícios realizadas nas aulas de monitoria 85% afirmaram que são </w:t>
      </w:r>
      <w:proofErr w:type="gramStart"/>
      <w:r>
        <w:t>claras.</w:t>
      </w:r>
      <w:proofErr w:type="gramEnd"/>
      <w:r>
        <w:t>Constatou-se também que 90% afirmam que a monitoria contribui para melhorar o desempenho na disciplina.</w:t>
      </w:r>
    </w:p>
    <w:p w:rsidR="00B439D4" w:rsidRDefault="00675E79" w:rsidP="00FC1EB0">
      <w:pPr>
        <w:rPr>
          <w:b/>
        </w:rPr>
      </w:pPr>
      <w:r>
        <w:t>Entretanto identificou-se uma desproporcionalidade entre os 80% que afirmaram frequentar a aulas de monitoria e os 90% que afirmaram que a monitoria contribui para melhorar o desempenho na disciplina.</w:t>
      </w:r>
    </w:p>
    <w:p w:rsidR="00B439D4" w:rsidRPr="0076359D" w:rsidRDefault="00B439D4" w:rsidP="00FC1EB0">
      <w:pPr>
        <w:ind w:firstLine="0"/>
        <w:rPr>
          <w:b/>
        </w:rPr>
      </w:pPr>
      <w:r>
        <w:rPr>
          <w:b/>
        </w:rPr>
        <w:t xml:space="preserve">4.  </w:t>
      </w:r>
      <w:r w:rsidRPr="0076359D">
        <w:rPr>
          <w:b/>
        </w:rPr>
        <w:t xml:space="preserve">CONSIDERAÇÕES FINAIS </w:t>
      </w:r>
    </w:p>
    <w:p w:rsidR="00B439D4" w:rsidRDefault="00B439D4" w:rsidP="00FC1EB0">
      <w:pPr>
        <w:ind w:firstLine="708"/>
      </w:pPr>
      <w:r>
        <w:t xml:space="preserve">Diante do resultado acima exposto, observa-se que existe uma razoável dificuldade de entendimento de determinados assuntos, enquanto outros, como a Demonstração do Resultado do Exercício </w:t>
      </w:r>
      <w:proofErr w:type="spellStart"/>
      <w:r>
        <w:t>acarretammaior</w:t>
      </w:r>
      <w:proofErr w:type="spellEnd"/>
      <w:r>
        <w:t xml:space="preserve"> nível de dificuldade por parte </w:t>
      </w:r>
      <w:r>
        <w:lastRenderedPageBreak/>
        <w:t xml:space="preserve">dos alunos, principalmente nos aspectos de composição e estrutura. Além disso, por se tratarem de duas Demonstrações contábeis (DRE e BP), é notória a contraposição quando afirmaram achar fácil o Balanço patrimonial na questão de estrutura e composição. </w:t>
      </w:r>
    </w:p>
    <w:p w:rsidR="00B439D4" w:rsidRPr="00B439D4" w:rsidRDefault="00B439D4" w:rsidP="00B439D4">
      <w:pPr>
        <w:ind w:firstLine="708"/>
      </w:pPr>
      <w:r>
        <w:t xml:space="preserve">Quanto à contribuição dada pela monitoria para melhorar o desempenho dos discentes evidenciou-se a relevância desse projeto no processo de ensino-aprendizagem, pois existe sempre uma troca de conhecimento entre aluno-monitor por se tratar de uma relação </w:t>
      </w:r>
      <w:r w:rsidRPr="00B439D4">
        <w:t>diferente e mais aberta, se comparado com o nível de relacionamento entre alunos e professores, acarretando então uma maior liberdade para resoluções de questões e dúvidas, bem como discussões no geral.</w:t>
      </w:r>
    </w:p>
    <w:p w:rsidR="00B439D4" w:rsidRPr="00B439D4" w:rsidRDefault="00B439D4" w:rsidP="00B439D4">
      <w:pPr>
        <w:ind w:firstLine="708"/>
      </w:pPr>
      <w:r w:rsidRPr="00B439D4">
        <w:t xml:space="preserve">Portanto, pode-se inferir que para os alunos que possuem dúvidas ou até mesmo </w:t>
      </w:r>
      <w:proofErr w:type="spellStart"/>
      <w:r w:rsidRPr="00B439D4">
        <w:t>desejamaprofundar-se</w:t>
      </w:r>
      <w:proofErr w:type="spellEnd"/>
      <w:r w:rsidRPr="00B439D4">
        <w:t xml:space="preserve"> na matéria o projeto de monitoria exerce um importante papel como intermediador desses objetivos, contribuindo assim para uma melhora na forma</w:t>
      </w:r>
      <w:r>
        <w:t>ção de profissionais que est</w:t>
      </w:r>
      <w:r w:rsidRPr="00B439D4">
        <w:t>ejam preparados para o exercício da profissão.</w:t>
      </w:r>
    </w:p>
    <w:p w:rsidR="00B439D4" w:rsidRPr="00AE212A" w:rsidRDefault="00B439D4" w:rsidP="00AE212A">
      <w:pPr>
        <w:ind w:firstLine="708"/>
      </w:pPr>
      <w:r w:rsidRPr="00B439D4">
        <w:t>Recomenda-se como futuras pesquisas, identificar a colaboração da monitoria para os discentes em outras disciplinas específicas do curso, além de replicar esse estudo em períodos subsequentes, para comparação de resultados, tendo em vista a possibilidade de estudar uma amostra maior.</w:t>
      </w:r>
    </w:p>
    <w:p w:rsidR="006C02DC" w:rsidRDefault="006C02DC" w:rsidP="00B439D4">
      <w:pPr>
        <w:ind w:firstLine="0"/>
        <w:rPr>
          <w:b/>
        </w:rPr>
      </w:pPr>
    </w:p>
    <w:p w:rsidR="00B439D4" w:rsidRPr="00B439D4" w:rsidRDefault="00B439D4" w:rsidP="00B439D4">
      <w:pPr>
        <w:ind w:firstLine="0"/>
        <w:rPr>
          <w:b/>
        </w:rPr>
      </w:pPr>
      <w:r>
        <w:rPr>
          <w:b/>
        </w:rPr>
        <w:t>5. REFERÊNCIAS</w:t>
      </w:r>
    </w:p>
    <w:p w:rsidR="00B439D4" w:rsidRPr="00946232" w:rsidRDefault="00B439D4" w:rsidP="00B439D4">
      <w:bookmarkStart w:id="0" w:name="_GoBack"/>
      <w:bookmarkEnd w:id="0"/>
      <w:r w:rsidRPr="00C77DDF">
        <w:t xml:space="preserve">LINS, Daniel. </w:t>
      </w:r>
      <w:r w:rsidRPr="00C77DDF">
        <w:rPr>
          <w:b/>
        </w:rPr>
        <w:t>Ser Monitor</w:t>
      </w:r>
      <w:r w:rsidRPr="00C77DDF">
        <w:t xml:space="preserve">. Disponível em: </w:t>
      </w:r>
      <w:r w:rsidRPr="00C77DDF">
        <w:rPr>
          <w:color w:val="000000" w:themeColor="text1"/>
        </w:rPr>
        <w:t>&lt;</w:t>
      </w:r>
      <w:hyperlink r:id="rId8" w:history="1">
        <w:r w:rsidRPr="00C77DDF">
          <w:rPr>
            <w:rStyle w:val="Hyperlink"/>
            <w:color w:val="000000" w:themeColor="text1"/>
          </w:rPr>
          <w:t>http://www.mauricionassau.com.br/institucionais/faculdade/index.php?artigo/listar/215</w:t>
        </w:r>
      </w:hyperlink>
      <w:r w:rsidRPr="00C77DDF">
        <w:rPr>
          <w:color w:val="000000" w:themeColor="text1"/>
        </w:rPr>
        <w:t>&gt; Acesso em: 12/08/2013</w:t>
      </w:r>
    </w:p>
    <w:p w:rsidR="00B439D4" w:rsidRPr="00CF7F40" w:rsidRDefault="00B439D4" w:rsidP="00B439D4">
      <w:pPr>
        <w:autoSpaceDE w:val="0"/>
        <w:autoSpaceDN w:val="0"/>
        <w:adjustRightInd w:val="0"/>
      </w:pPr>
      <w:r w:rsidRPr="00946232">
        <w:t xml:space="preserve">MARTINS, </w:t>
      </w:r>
      <w:proofErr w:type="spellStart"/>
      <w:r w:rsidRPr="00946232">
        <w:t>G.A.</w:t>
      </w:r>
      <w:proofErr w:type="spellEnd"/>
      <w:r w:rsidRPr="00946232">
        <w:t xml:space="preserve"> </w:t>
      </w:r>
      <w:r w:rsidRPr="00946232">
        <w:rPr>
          <w:b/>
          <w:bCs/>
        </w:rPr>
        <w:t>Manual para elaboração de monografia e dissertações</w:t>
      </w:r>
      <w:r w:rsidRPr="00946232">
        <w:t xml:space="preserve">. </w:t>
      </w:r>
      <w:r>
        <w:t xml:space="preserve">Revista </w:t>
      </w:r>
      <w:r w:rsidRPr="00CF7F40">
        <w:t>Atlas</w:t>
      </w:r>
      <w:r>
        <w:t xml:space="preserve">, </w:t>
      </w:r>
      <w:r w:rsidRPr="00946232">
        <w:t>3ª edição</w:t>
      </w:r>
      <w:r w:rsidRPr="00CF7F40">
        <w:t>. São Paulo – 2012.</w:t>
      </w:r>
    </w:p>
    <w:p w:rsidR="00B439D4" w:rsidRPr="0070601B" w:rsidRDefault="00B439D4" w:rsidP="00B439D4">
      <w:pPr>
        <w:autoSpaceDE w:val="0"/>
        <w:autoSpaceDN w:val="0"/>
        <w:adjustRightInd w:val="0"/>
        <w:rPr>
          <w:color w:val="000000" w:themeColor="text1"/>
        </w:rPr>
      </w:pPr>
      <w:r w:rsidRPr="00CF7F40">
        <w:t xml:space="preserve">HOFER, Elza; </w:t>
      </w:r>
      <w:proofErr w:type="gramStart"/>
      <w:r w:rsidRPr="00CF7F40">
        <w:t>PELEIAS</w:t>
      </w:r>
      <w:proofErr w:type="gramEnd"/>
      <w:r w:rsidRPr="00CF7F40">
        <w:t xml:space="preserve">, </w:t>
      </w:r>
      <w:proofErr w:type="spellStart"/>
      <w:r w:rsidRPr="00CF7F40">
        <w:t>Ivam</w:t>
      </w:r>
      <w:proofErr w:type="spellEnd"/>
      <w:r w:rsidRPr="00CF7F40">
        <w:t xml:space="preserve"> Ricardo; </w:t>
      </w:r>
      <w:r w:rsidR="00AE212A" w:rsidRPr="00CF7F40">
        <w:t>WEFFORT</w:t>
      </w:r>
      <w:r w:rsidRPr="00CF7F40">
        <w:t xml:space="preserve">, </w:t>
      </w:r>
      <w:proofErr w:type="spellStart"/>
      <w:r w:rsidRPr="00CF7F40">
        <w:t>Elionor</w:t>
      </w:r>
      <w:proofErr w:type="spellEnd"/>
      <w:r w:rsidRPr="00CF7F40">
        <w:t xml:space="preserve"> </w:t>
      </w:r>
      <w:proofErr w:type="spellStart"/>
      <w:r w:rsidRPr="00CF7F40">
        <w:t>Farah</w:t>
      </w:r>
      <w:proofErr w:type="spellEnd"/>
      <w:r w:rsidRPr="00CF7F40">
        <w:t xml:space="preserve"> </w:t>
      </w:r>
      <w:proofErr w:type="spellStart"/>
      <w:r w:rsidRPr="00CF7F40">
        <w:t>Jreige</w:t>
      </w:r>
      <w:proofErr w:type="spellEnd"/>
      <w:r w:rsidRPr="00CF7F40">
        <w:t xml:space="preserve">. </w:t>
      </w:r>
      <w:r>
        <w:rPr>
          <w:b/>
        </w:rPr>
        <w:t xml:space="preserve">Análise das condições de oferta da disciplina contabilidade introdutória: pesquisa junto às universidades estaduais do Paraná. </w:t>
      </w:r>
      <w:r>
        <w:t xml:space="preserve">Revista contabilidade e finanças. São Paulo – 2005. Disponível em: </w:t>
      </w:r>
      <w:hyperlink r:id="rId9" w:history="1">
        <w:r w:rsidRPr="0070601B">
          <w:rPr>
            <w:rStyle w:val="Hyperlink"/>
            <w:color w:val="000000" w:themeColor="text1"/>
          </w:rPr>
          <w:t>http://www.scielo.br/scielo.php?pid=S1519-70772005000300010&amp;script=sci_arttext</w:t>
        </w:r>
      </w:hyperlink>
      <w:r w:rsidRPr="0070601B">
        <w:rPr>
          <w:color w:val="000000" w:themeColor="text1"/>
        </w:rPr>
        <w:t>. Acesso em setembro de 2013.</w:t>
      </w:r>
    </w:p>
    <w:p w:rsidR="00B439D4" w:rsidRPr="0070601B" w:rsidRDefault="00B439D4" w:rsidP="00B439D4">
      <w:pPr>
        <w:autoSpaceDE w:val="0"/>
        <w:autoSpaceDN w:val="0"/>
        <w:adjustRightInd w:val="0"/>
        <w:rPr>
          <w:color w:val="000000" w:themeColor="text1"/>
        </w:rPr>
      </w:pPr>
      <w:r w:rsidRPr="0070601B">
        <w:rPr>
          <w:color w:val="000000" w:themeColor="text1"/>
        </w:rPr>
        <w:t xml:space="preserve">SILVA, Edna Lúcia da; MENEZES, </w:t>
      </w:r>
      <w:proofErr w:type="spellStart"/>
      <w:r w:rsidRPr="0070601B">
        <w:rPr>
          <w:color w:val="000000" w:themeColor="text1"/>
        </w:rPr>
        <w:t>Muszkat</w:t>
      </w:r>
      <w:proofErr w:type="spellEnd"/>
      <w:r w:rsidRPr="0070601B">
        <w:rPr>
          <w:color w:val="000000" w:themeColor="text1"/>
        </w:rPr>
        <w:t xml:space="preserve"> Menezes. </w:t>
      </w:r>
      <w:r w:rsidRPr="0070601B">
        <w:rPr>
          <w:b/>
          <w:color w:val="000000" w:themeColor="text1"/>
        </w:rPr>
        <w:t xml:space="preserve">Metodologia da Pesquisa e Elaboração de dissertação. </w:t>
      </w:r>
      <w:r w:rsidRPr="0070601B">
        <w:rPr>
          <w:color w:val="000000" w:themeColor="text1"/>
        </w:rPr>
        <w:t>Revista Atual, 4ª edição. Florianópolis – 2005.</w:t>
      </w:r>
    </w:p>
    <w:p w:rsidR="00B439D4" w:rsidRPr="00AE212A" w:rsidRDefault="00B439D4" w:rsidP="00AE212A">
      <w:pPr>
        <w:rPr>
          <w:color w:val="000000" w:themeColor="text1"/>
        </w:rPr>
      </w:pPr>
      <w:r w:rsidRPr="0070601B">
        <w:rPr>
          <w:color w:val="000000" w:themeColor="text1"/>
        </w:rPr>
        <w:t xml:space="preserve">QUIRINO, Márcio César de Oliveira; SEGANTINI, Giovanna </w:t>
      </w:r>
      <w:proofErr w:type="spellStart"/>
      <w:r w:rsidRPr="0070601B">
        <w:rPr>
          <w:color w:val="000000" w:themeColor="text1"/>
        </w:rPr>
        <w:t>Tonetto</w:t>
      </w:r>
      <w:proofErr w:type="spellEnd"/>
      <w:r w:rsidRPr="0070601B">
        <w:rPr>
          <w:color w:val="000000" w:themeColor="text1"/>
        </w:rPr>
        <w:t xml:space="preserve">; VIEIRA, </w:t>
      </w:r>
      <w:proofErr w:type="spellStart"/>
      <w:r w:rsidRPr="0070601B">
        <w:rPr>
          <w:color w:val="000000" w:themeColor="text1"/>
        </w:rPr>
        <w:t>Edzana</w:t>
      </w:r>
      <w:proofErr w:type="spellEnd"/>
      <w:r w:rsidRPr="0070601B">
        <w:rPr>
          <w:color w:val="000000" w:themeColor="text1"/>
        </w:rPr>
        <w:t xml:space="preserve"> Roberta Ferreira da Cunha. </w:t>
      </w:r>
      <w:r w:rsidRPr="0070601B">
        <w:rPr>
          <w:b/>
          <w:color w:val="000000" w:themeColor="text1"/>
        </w:rPr>
        <w:t xml:space="preserve">Perspectivas da monitoria: Avaliação da monitoria pela ótica dos discentes do curso de ciências contábeis da Universidade Federal do Rio Grande do Norte.  </w:t>
      </w:r>
      <w:r w:rsidRPr="0070601B">
        <w:rPr>
          <w:color w:val="000000" w:themeColor="text1"/>
        </w:rPr>
        <w:t xml:space="preserve">Revista Anual, 62ª edição. Rio Grande do Norte – 2010. Disponível em: </w:t>
      </w:r>
      <w:hyperlink r:id="rId10" w:history="1">
        <w:r w:rsidRPr="0070601B">
          <w:rPr>
            <w:rStyle w:val="Hyperlink"/>
            <w:color w:val="000000" w:themeColor="text1"/>
          </w:rPr>
          <w:t>http://www.sbpcnet.org.br/livro/62ra/resumos/resumos/2387.htm</w:t>
        </w:r>
      </w:hyperlink>
      <w:r w:rsidRPr="0070601B">
        <w:rPr>
          <w:color w:val="000000" w:themeColor="text1"/>
        </w:rPr>
        <w:t>. Acesso em setembro de 2013.</w:t>
      </w:r>
    </w:p>
    <w:p w:rsidR="00B439D4" w:rsidRPr="00C77DDF" w:rsidRDefault="00B439D4" w:rsidP="00B439D4">
      <w:r w:rsidRPr="0070601B">
        <w:t xml:space="preserve">SANTOS, Daniel Dias dos; </w:t>
      </w:r>
      <w:r w:rsidRPr="0070601B">
        <w:rPr>
          <w:b/>
        </w:rPr>
        <w:t>O uso da tecnologia d</w:t>
      </w:r>
      <w:r w:rsidRPr="00C77DDF">
        <w:rPr>
          <w:b/>
        </w:rPr>
        <w:t>a informação e comunicação como atividade meio ao exercício da docência nos cu</w:t>
      </w:r>
      <w:r>
        <w:rPr>
          <w:b/>
        </w:rPr>
        <w:t>rsos de ciências contábeis das Universidades Federais do estado da P</w:t>
      </w:r>
      <w:r w:rsidRPr="00C77DDF">
        <w:rPr>
          <w:b/>
        </w:rPr>
        <w:t>araíba</w:t>
      </w:r>
      <w:r>
        <w:rPr>
          <w:b/>
        </w:rPr>
        <w:t xml:space="preserve">. </w:t>
      </w:r>
      <w:r>
        <w:t xml:space="preserve">Universidade Federal da Paraíba, João Pessoa – 2013. </w:t>
      </w:r>
    </w:p>
    <w:p w:rsidR="00B439D4" w:rsidRPr="00C77DDF" w:rsidRDefault="00B439D4" w:rsidP="00B439D4"/>
    <w:p w:rsidR="00675E79" w:rsidRDefault="00675E79" w:rsidP="00675E79"/>
    <w:p w:rsidR="004D5FF7" w:rsidRDefault="004D5FF7">
      <w:pPr>
        <w:spacing w:after="0"/>
        <w:ind w:firstLine="0"/>
        <w:jc w:val="left"/>
      </w:pPr>
    </w:p>
    <w:sectPr w:rsidR="004D5FF7" w:rsidSect="00FC1EB0"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86D" w:rsidRDefault="00F4286D" w:rsidP="004B67F4">
      <w:pPr>
        <w:spacing w:after="0"/>
      </w:pPr>
      <w:r>
        <w:separator/>
      </w:r>
    </w:p>
  </w:endnote>
  <w:endnote w:type="continuationSeparator" w:id="0">
    <w:p w:rsidR="00F4286D" w:rsidRDefault="00F4286D" w:rsidP="004B67F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93" w:rsidRDefault="00CB5E93">
    <w:pPr>
      <w:pStyle w:val="Rodap"/>
    </w:pPr>
  </w:p>
  <w:p w:rsidR="00FC1EB0" w:rsidRDefault="008B3B59" w:rsidP="00CB5E93">
    <w:pPr>
      <w:pStyle w:val="Rodap"/>
      <w:ind w:firstLine="0"/>
    </w:pPr>
    <w:r>
      <w:rPr>
        <w:sz w:val="23"/>
        <w:szCs w:val="23"/>
      </w:rPr>
      <w:t>1 – Monitor voluntário; 2 - Professor Orientador; 3 – Coordenador do Projeto de Monitoria.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86D" w:rsidRDefault="00F4286D" w:rsidP="004B67F4">
      <w:pPr>
        <w:spacing w:after="0"/>
      </w:pPr>
      <w:r>
        <w:separator/>
      </w:r>
    </w:p>
  </w:footnote>
  <w:footnote w:type="continuationSeparator" w:id="0">
    <w:p w:rsidR="00F4286D" w:rsidRDefault="00F4286D" w:rsidP="004B67F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F2BBC"/>
    <w:multiLevelType w:val="hybridMultilevel"/>
    <w:tmpl w:val="54DAA2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A1FEE"/>
    <w:multiLevelType w:val="hybridMultilevel"/>
    <w:tmpl w:val="631E0738"/>
    <w:lvl w:ilvl="0" w:tplc="B03C6CDA">
      <w:start w:val="1"/>
      <w:numFmt w:val="decimal"/>
      <w:pStyle w:val="Ttulo1"/>
      <w:lvlText w:val="%1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B6014C"/>
    <w:multiLevelType w:val="hybridMultilevel"/>
    <w:tmpl w:val="06264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017"/>
    <w:rsid w:val="00006C86"/>
    <w:rsid w:val="0002433A"/>
    <w:rsid w:val="00055FAE"/>
    <w:rsid w:val="00327DC1"/>
    <w:rsid w:val="0035763F"/>
    <w:rsid w:val="004B67F4"/>
    <w:rsid w:val="004D5FF7"/>
    <w:rsid w:val="005D2F01"/>
    <w:rsid w:val="00652017"/>
    <w:rsid w:val="00670550"/>
    <w:rsid w:val="00675E79"/>
    <w:rsid w:val="00692C44"/>
    <w:rsid w:val="006C02DC"/>
    <w:rsid w:val="006D042C"/>
    <w:rsid w:val="006F58F0"/>
    <w:rsid w:val="007442C8"/>
    <w:rsid w:val="008409F2"/>
    <w:rsid w:val="008B3B59"/>
    <w:rsid w:val="00962EBC"/>
    <w:rsid w:val="00AD1050"/>
    <w:rsid w:val="00AE212A"/>
    <w:rsid w:val="00B439D4"/>
    <w:rsid w:val="00B86E77"/>
    <w:rsid w:val="00BA1013"/>
    <w:rsid w:val="00CB5E93"/>
    <w:rsid w:val="00CD09C5"/>
    <w:rsid w:val="00D11789"/>
    <w:rsid w:val="00E17236"/>
    <w:rsid w:val="00EB026E"/>
    <w:rsid w:val="00EF070E"/>
    <w:rsid w:val="00F4286D"/>
    <w:rsid w:val="00F7764D"/>
    <w:rsid w:val="00FC1EB0"/>
    <w:rsid w:val="00FC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2017"/>
    <w:pPr>
      <w:spacing w:after="120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A1013"/>
    <w:pPr>
      <w:keepNext/>
      <w:keepLines/>
      <w:numPr>
        <w:numId w:val="1"/>
      </w:numPr>
      <w:spacing w:after="0"/>
      <w:ind w:left="357" w:hanging="357"/>
      <w:outlineLvl w:val="0"/>
    </w:pPr>
    <w:rPr>
      <w:rFonts w:eastAsiaTheme="majorEastAsia" w:cstheme="majorBid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520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A1013"/>
    <w:rPr>
      <w:rFonts w:eastAsiaTheme="majorEastAsia" w:cstheme="majorBidi"/>
      <w:b/>
      <w:bCs/>
      <w:sz w:val="24"/>
      <w:szCs w:val="28"/>
    </w:rPr>
  </w:style>
  <w:style w:type="paragraph" w:styleId="PargrafodaLista">
    <w:name w:val="List Paragraph"/>
    <w:basedOn w:val="Normal"/>
    <w:uiPriority w:val="34"/>
    <w:qFormat/>
    <w:rsid w:val="00675E79"/>
    <w:pPr>
      <w:ind w:left="720"/>
      <w:contextualSpacing/>
    </w:pPr>
  </w:style>
  <w:style w:type="character" w:styleId="Hyperlink">
    <w:name w:val="Hyperlink"/>
    <w:basedOn w:val="Fontepargpadro"/>
    <w:rsid w:val="00B439D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4B67F4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B67F4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4B67F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4B67F4"/>
    <w:rPr>
      <w:sz w:val="24"/>
      <w:szCs w:val="24"/>
    </w:rPr>
  </w:style>
  <w:style w:type="paragraph" w:styleId="Textodebalo">
    <w:name w:val="Balloon Text"/>
    <w:basedOn w:val="Normal"/>
    <w:link w:val="TextodebaloChar"/>
    <w:rsid w:val="004B67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B67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AD105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D10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D1050"/>
  </w:style>
  <w:style w:type="paragraph" w:styleId="Assuntodocomentrio">
    <w:name w:val="annotation subject"/>
    <w:basedOn w:val="Textodecomentrio"/>
    <w:next w:val="Textodecomentrio"/>
    <w:link w:val="AssuntodocomentrioChar"/>
    <w:rsid w:val="00AD10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D1050"/>
    <w:rPr>
      <w:b/>
      <w:bCs/>
    </w:rPr>
  </w:style>
  <w:style w:type="character" w:styleId="Forte">
    <w:name w:val="Strong"/>
    <w:basedOn w:val="Fontepargpadro"/>
    <w:qFormat/>
    <w:rsid w:val="000243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2017"/>
    <w:pPr>
      <w:spacing w:after="120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A1013"/>
    <w:pPr>
      <w:keepNext/>
      <w:keepLines/>
      <w:numPr>
        <w:numId w:val="1"/>
      </w:numPr>
      <w:spacing w:after="0"/>
      <w:ind w:left="357" w:hanging="357"/>
      <w:outlineLvl w:val="0"/>
    </w:pPr>
    <w:rPr>
      <w:rFonts w:eastAsiaTheme="majorEastAsia" w:cstheme="majorBid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520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A1013"/>
    <w:rPr>
      <w:rFonts w:eastAsiaTheme="majorEastAsia" w:cstheme="majorBidi"/>
      <w:b/>
      <w:bCs/>
      <w:sz w:val="24"/>
      <w:szCs w:val="28"/>
    </w:rPr>
  </w:style>
  <w:style w:type="paragraph" w:styleId="PargrafodaLista">
    <w:name w:val="List Paragraph"/>
    <w:basedOn w:val="Normal"/>
    <w:uiPriority w:val="34"/>
    <w:qFormat/>
    <w:rsid w:val="00675E79"/>
    <w:pPr>
      <w:ind w:left="720"/>
      <w:contextualSpacing/>
    </w:pPr>
  </w:style>
  <w:style w:type="character" w:styleId="Hyperlink">
    <w:name w:val="Hyperlink"/>
    <w:basedOn w:val="Fontepargpadro"/>
    <w:rsid w:val="00B439D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4B67F4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B67F4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4B67F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4B67F4"/>
    <w:rPr>
      <w:sz w:val="24"/>
      <w:szCs w:val="24"/>
    </w:rPr>
  </w:style>
  <w:style w:type="paragraph" w:styleId="Textodebalo">
    <w:name w:val="Balloon Text"/>
    <w:basedOn w:val="Normal"/>
    <w:link w:val="TextodebaloChar"/>
    <w:rsid w:val="004B67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B67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AD105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D10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D1050"/>
  </w:style>
  <w:style w:type="paragraph" w:styleId="Assuntodocomentrio">
    <w:name w:val="annotation subject"/>
    <w:basedOn w:val="Textodecomentrio"/>
    <w:next w:val="Textodecomentrio"/>
    <w:link w:val="AssuntodocomentrioChar"/>
    <w:rsid w:val="00AD10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D1050"/>
    <w:rPr>
      <w:b/>
      <w:bCs/>
    </w:rPr>
  </w:style>
  <w:style w:type="character" w:styleId="Forte">
    <w:name w:val="Strong"/>
    <w:basedOn w:val="Fontepargpadro"/>
    <w:qFormat/>
    <w:rsid w:val="000243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uricionassau.com.br/institucionais/faculdade/index.php?artigo/listar/2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bpcnet.org.br/livro/62ra/resumos/resumos/238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lo.br/scielo.php?pid=S1519-70772005000300010&amp;script=sci_arttex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E3ECD-FFE5-430C-BA29-691ACD2E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2037</Words>
  <Characters>12428</Characters>
  <Application>Microsoft Office Word</Application>
  <DocSecurity>0</DocSecurity>
  <Lines>103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CCEinfo</dc:creator>
  <cp:lastModifiedBy>cem01</cp:lastModifiedBy>
  <cp:revision>8</cp:revision>
  <dcterms:created xsi:type="dcterms:W3CDTF">2013-10-16T00:55:00Z</dcterms:created>
  <dcterms:modified xsi:type="dcterms:W3CDTF">2014-07-14T20:53:00Z</dcterms:modified>
</cp:coreProperties>
</file>